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5018"/>
      </w:tblGrid>
      <w:tr w:rsidR="00B239D5" w:rsidRPr="00527BB6" w:rsidTr="0093399B">
        <w:tc>
          <w:tcPr>
            <w:tcW w:w="5018" w:type="dxa"/>
          </w:tcPr>
          <w:p w:rsidR="00B239D5" w:rsidRPr="00527BB6" w:rsidRDefault="00B239D5" w:rsidP="0093399B">
            <w:pPr>
              <w:autoSpaceDE w:val="0"/>
              <w:autoSpaceDN w:val="0"/>
              <w:adjustRightInd w:val="0"/>
              <w:jc w:val="center"/>
              <w:rPr>
                <w:rFonts w:asciiTheme="majorHAnsi" w:hAnsiTheme="majorHAnsi" w:cs="AvantGardeITCbyBT-Book"/>
                <w:b/>
                <w:sz w:val="20"/>
                <w:szCs w:val="20"/>
              </w:rPr>
            </w:pPr>
            <w:r w:rsidRPr="00527BB6">
              <w:rPr>
                <w:rFonts w:asciiTheme="majorHAnsi" w:hAnsiTheme="majorHAnsi" w:cs="AvantGardeITCbyBT-Book"/>
                <w:b/>
                <w:sz w:val="20"/>
                <w:szCs w:val="20"/>
              </w:rPr>
              <w:t>Tasavvufi mezhepler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sz w:val="20"/>
                <w:szCs w:val="20"/>
              </w:rPr>
            </w:pPr>
            <w:r w:rsidRPr="00527BB6">
              <w:rPr>
                <w:rFonts w:cs="AvantGardeITCbyBT-Book"/>
                <w:sz w:val="20"/>
                <w:szCs w:val="20"/>
              </w:rPr>
              <w:t>Yesevilik</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Kurucusu:</w:t>
            </w:r>
            <w:r w:rsidRPr="00527BB6">
              <w:rPr>
                <w:rFonts w:cs="AvantGardeITCbyBT-Book"/>
                <w:b w:val="0"/>
                <w:sz w:val="20"/>
                <w:szCs w:val="20"/>
              </w:rPr>
              <w:t xml:space="preserve"> hoca Ahmet Yesevidir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Ahmet yesevi Orta Asya Türklerinin İslam’ı kabul etmelerinde etki</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Ahmet Yesevi, bütün çalışmalarında Kur’an ve sünneti esas almıştır. İnsanların daha iyi anlayabilecekleri sade bir dil kullanmıştır.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Temel düşünceleri</w:t>
            </w:r>
            <w:r w:rsidRPr="00527BB6">
              <w:rPr>
                <w:rFonts w:cs="AvantGardeITCbyBT-Book"/>
                <w:b w:val="0"/>
                <w:sz w:val="20"/>
                <w:szCs w:val="20"/>
              </w:rPr>
              <w:t xml:space="preserve">: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-İnsanları seven ve onlara yardım eden, kalp kırmayan ve yalan söylemeyen insan erdemli kişidir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-Hak ve hukuka riayet etmeye ve rızkı helal yollardan kazanmaya da büyük önem vermiştir. Bu düşünceyi oluşturan önemli ilkelerin başında yoksullara yardım etmek ve misafir ağırlamak gibi ahlaki kurallar gelir</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Etkili olduğu yer</w:t>
            </w:r>
            <w:r w:rsidRPr="00527BB6">
              <w:rPr>
                <w:rFonts w:cs="AvantGardeITCbyBT-Book"/>
                <w:b w:val="0"/>
                <w:sz w:val="20"/>
                <w:szCs w:val="20"/>
              </w:rPr>
              <w:t>: Yesevilik, Türkistan bölgesinde doğup kısa bir süre içerisinde Orta Asya’dan Balkanlara kadar uzanan geniş bir coğrafyada yayılmıştır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sz w:val="20"/>
                <w:szCs w:val="20"/>
              </w:rPr>
            </w:pPr>
            <w:r w:rsidRPr="00527BB6">
              <w:rPr>
                <w:rFonts w:cs="AvantGardeITCbyBT-Demi"/>
                <w:sz w:val="20"/>
                <w:szCs w:val="20"/>
              </w:rPr>
              <w:t>Kadirilik</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Kurucusu</w:t>
            </w:r>
            <w:r w:rsidRPr="00527BB6">
              <w:rPr>
                <w:rFonts w:cs="AvantGardeITCbyBT-Book"/>
                <w:b w:val="0"/>
                <w:sz w:val="20"/>
                <w:szCs w:val="20"/>
              </w:rPr>
              <w:t>: Abdülkadir Geylani</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sz w:val="20"/>
                <w:szCs w:val="20"/>
              </w:rPr>
            </w:pPr>
            <w:r w:rsidRPr="00527BB6">
              <w:rPr>
                <w:rFonts w:cs="AvantGardeITCbyBT-Book"/>
                <w:sz w:val="20"/>
                <w:szCs w:val="20"/>
              </w:rPr>
              <w:t xml:space="preserve">Temel düşünceleri: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-Kur’an ve sünnete uymak esas alınır.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insanın dinin emir ve yasaklarına uymasının önemi üzerinde durulur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insan, günahlarından tövbe etmeli.</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yoksullara yardımcı olmalı</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 cömert olmak ve bol sadaka vermek önemlidir.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insanın kötülüklerden arınması ve güzel huylar edinmesi</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Etkili olduğu yer</w:t>
            </w:r>
            <w:r w:rsidRPr="00527BB6">
              <w:rPr>
                <w:rFonts w:cs="AvantGardeITCbyBT-Book"/>
                <w:b w:val="0"/>
                <w:sz w:val="20"/>
                <w:szCs w:val="20"/>
              </w:rPr>
              <w:t>: Asya’dan Balkanlara, Orta Doğu’dan Afrika’ya kadar geniş bir coğrafyada</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sz w:val="20"/>
                <w:szCs w:val="20"/>
              </w:rPr>
            </w:pPr>
            <w:r w:rsidRPr="00527BB6">
              <w:rPr>
                <w:rFonts w:cs="AvantGardeITCbyBT-Demi"/>
                <w:sz w:val="20"/>
                <w:szCs w:val="20"/>
              </w:rPr>
              <w:t>Nakşibendilik</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Kurucusu</w:t>
            </w:r>
            <w:r w:rsidRPr="00527BB6">
              <w:rPr>
                <w:rFonts w:cs="AvantGardeITCbyBT-Book"/>
                <w:b w:val="0"/>
                <w:sz w:val="20"/>
                <w:szCs w:val="20"/>
              </w:rPr>
              <w:t>: Bahaeddin Nakşibend</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Önemli temsilcileri: İmam Rabbani ve Mevlânâ Halit Bağdadi gibi mutasavvıflar</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Temel düşünceleri</w:t>
            </w:r>
            <w:r w:rsidRPr="00527BB6">
              <w:rPr>
                <w:rFonts w:cs="AvantGardeITCbyBT-Book"/>
                <w:b w:val="0"/>
                <w:sz w:val="20"/>
                <w:szCs w:val="20"/>
              </w:rPr>
              <w:t>:</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-kişinin kötülüklerden uzak kalması için Allah’ı çok anması gerekir   Çünkü Allah’ı sessizce ve çok anan bir insanın onun sevgisini kalbine nakşedeceğine inanılır.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 Kur’an ve sünnete sıkı bir bağlılık gösterilir ve ibadetlere önem verilir.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-ilim ve irfan meclislerinde iyi ve ahlaklı insanlarla her zaman bir arada bulunmaktır.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her anı iyi değerlendirmek, kalbi kötü düşüncelerden arındırmak, gönlünde Allah’tan başkasına yer vermemek, Allah’ı daima hatırlamak </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Etkili olduğu yer: Türkistan, Anadolu</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ve Hindistan </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sz w:val="20"/>
                <w:szCs w:val="20"/>
              </w:rPr>
            </w:pPr>
            <w:r w:rsidRPr="00527BB6">
              <w:rPr>
                <w:rFonts w:cs="AvantGardeITCbyBT-Demi"/>
                <w:sz w:val="20"/>
                <w:szCs w:val="20"/>
              </w:rPr>
              <w:t>Mevlevilik</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Kurucusu</w:t>
            </w:r>
            <w:r w:rsidRPr="00527BB6">
              <w:rPr>
                <w:rFonts w:cs="AvantGardeITCbyBT-Book"/>
                <w:b w:val="0"/>
                <w:sz w:val="20"/>
                <w:szCs w:val="20"/>
              </w:rPr>
              <w:t>: Mevlana’dır,  ilk tahsilini babası Bahaeddin Veled’den almıştır  Onun düşünceleri</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vefatından sonra oğlu Sultan Veled tarafından sistemleştirilmiştir.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Temel düşünceleri</w:t>
            </w:r>
            <w:r w:rsidRPr="00527BB6">
              <w:rPr>
                <w:rFonts w:cs="AvantGardeITCbyBT-Book"/>
                <w:b w:val="0"/>
                <w:sz w:val="20"/>
                <w:szCs w:val="20"/>
              </w:rPr>
              <w:t xml:space="preserve">: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 -örnek insan olmak son derece önemlidir.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-İnsanın; hırs, kibir ve yalan gibi kötü huyları terk etmesi gerekir.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 -insanın diğer varlıklardan üstün yaratıldığını ve </w:t>
            </w:r>
            <w:r w:rsidRPr="00527BB6">
              <w:rPr>
                <w:rFonts w:cs="AvantGardeITCbyBT-Book"/>
                <w:b w:val="0"/>
                <w:sz w:val="20"/>
                <w:szCs w:val="20"/>
              </w:rPr>
              <w:t xml:space="preserve">değerli olduğunu vurgulamıştır.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-insanı dünya ve ahirette mutlu edecek bilgiler vermiş ve bu anlamda insanları hoşgörülü ve ahlaklı olmaya teşvik etmiştir.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insanlara dürüst, cömert, çalışkan, alçak gönüllü ve  sabırlı olmalarını tavsiye etmiştir. Ona göre başkalarının iyiliğini istemek, helal kazanmak ve doğru sözlü olmak çok önemlidir.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Allah’a şükreden ve ibadetlerini yerine getiren</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bir kişi olmak esastır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-şiir ve musiki üzerinde de ağırlığı hissedilmektedir.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Türkiye sınırlarını da aşmış ve pek çok ülkede yaygınlık kazanmıştır. </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Etkili olduğu yerler:</w:t>
            </w:r>
            <w:r w:rsidRPr="00527BB6">
              <w:rPr>
                <w:rFonts w:cs="AvantGardeITCbyBT-Book"/>
                <w:b w:val="0"/>
                <w:sz w:val="20"/>
                <w:szCs w:val="20"/>
              </w:rPr>
              <w:t xml:space="preserve"> Türkiye sınırlarını da aşmış ve pek çok ülkede yaygınlık</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1242"/>
        <w:gridCol w:w="284"/>
        <w:gridCol w:w="3492"/>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gridSpan w:val="3"/>
          </w:tcPr>
          <w:p w:rsidR="00B239D5" w:rsidRPr="00527BB6" w:rsidRDefault="00B239D5" w:rsidP="0093399B">
            <w:pPr>
              <w:autoSpaceDE w:val="0"/>
              <w:autoSpaceDN w:val="0"/>
              <w:adjustRightInd w:val="0"/>
              <w:jc w:val="center"/>
              <w:rPr>
                <w:rFonts w:cs="AvantGardeITCbyBT-Book"/>
                <w:b w:val="0"/>
                <w:sz w:val="20"/>
                <w:szCs w:val="20"/>
              </w:rPr>
            </w:pPr>
            <w:r w:rsidRPr="00527BB6">
              <w:rPr>
                <w:rFonts w:cs="AvantGardeITCbyBT-Demi"/>
                <w:b w:val="0"/>
                <w:sz w:val="20"/>
                <w:szCs w:val="20"/>
              </w:rPr>
              <w:t>Alevilik-Bektaşilik</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Pr>
          <w:p w:rsidR="00B239D5" w:rsidRPr="00527BB6" w:rsidRDefault="00B239D5" w:rsidP="0093399B">
            <w:pPr>
              <w:autoSpaceDE w:val="0"/>
              <w:autoSpaceDN w:val="0"/>
              <w:adjustRightInd w:val="0"/>
              <w:rPr>
                <w:rFonts w:cs="AvantGardeITCbyBT-Book"/>
                <w:sz w:val="20"/>
                <w:szCs w:val="20"/>
              </w:rPr>
            </w:pPr>
            <w:r w:rsidRPr="00527BB6">
              <w:rPr>
                <w:rFonts w:cs="AvantGardeITCbyBT-Book"/>
                <w:sz w:val="20"/>
                <w:szCs w:val="20"/>
              </w:rPr>
              <w:t xml:space="preserve">Alevilik </w:t>
            </w:r>
          </w:p>
        </w:tc>
        <w:tc>
          <w:tcPr>
            <w:tcW w:w="3492" w:type="dxa"/>
          </w:tcPr>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Hz. Ali’yi seven, sayan ve ona taraftar olan kişiye Alevi denir Aleviler; Allah’ın birliğine inanan, Hz. Muhammed’i son peygamber olarak kabul eden, kutsal kitabı Kur’an-ı Kerim olan, Hz. Muhammed’i ve onun ehl-i beytini seven Müslümanlardır.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Bektaşili</w:t>
            </w:r>
            <w:r w:rsidRPr="00527BB6">
              <w:rPr>
                <w:rFonts w:cs="AvantGardeITCbyBT-Book"/>
                <w:b w:val="0"/>
                <w:sz w:val="20"/>
                <w:szCs w:val="20"/>
              </w:rPr>
              <w:t>k</w:t>
            </w:r>
          </w:p>
        </w:tc>
        <w:tc>
          <w:tcPr>
            <w:tcW w:w="3492" w:type="dxa"/>
          </w:tcPr>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Hacı Bektaş Veli’ye bağlı olan ve onun yolundan gidenlerin oluşturduğu düşüncenin  adıdır  </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Hacı Bektaş Veli, Anadolu</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ve Balkanlarda İslam’ın yayılmasına öncülük etmiş</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 xml:space="preserve">Düşkün </w:t>
            </w:r>
          </w:p>
        </w:tc>
        <w:tc>
          <w:tcPr>
            <w:tcW w:w="3492" w:type="dxa"/>
          </w:tcPr>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birbiriyle küs olan, bir başkasının hakkını, hukukunu çiğneyen ve herhangi bir kişiye zarar verecek davranışlarda bulunan kimseler Bu davranışları işleyen kimseler, genellikle cem sırasında dâr meydanına gelirler ve aralarındaki anlaşmazlıklar dede tarafından giderilmeye çalışılır. Sorunları giderilemeyen kimseler, o sorunun daha sonra çözümlenmesi amacıyla cemevinden çıkarılır.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sz w:val="20"/>
                <w:szCs w:val="20"/>
              </w:rPr>
              <w:t>Yol düşkünü</w:t>
            </w:r>
          </w:p>
        </w:tc>
        <w:tc>
          <w:tcPr>
            <w:tcW w:w="3492" w:type="dxa"/>
          </w:tcPr>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Düşkün olduğu için ceme alınmayan cem evinden çıkarılan kişiler</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gridSpan w:val="3"/>
          </w:tcPr>
          <w:p w:rsidR="00B239D5" w:rsidRPr="00527BB6" w:rsidRDefault="00B239D5" w:rsidP="0093399B">
            <w:pPr>
              <w:autoSpaceDE w:val="0"/>
              <w:autoSpaceDN w:val="0"/>
              <w:adjustRightInd w:val="0"/>
              <w:jc w:val="center"/>
              <w:rPr>
                <w:rFonts w:cs="AvantGardeITCbyBT-Book"/>
                <w:b w:val="0"/>
                <w:sz w:val="20"/>
                <w:szCs w:val="20"/>
              </w:rPr>
            </w:pPr>
            <w:r w:rsidRPr="00527BB6">
              <w:rPr>
                <w:rFonts w:cs="AvantGardeITCbyBT-Book"/>
                <w:b w:val="0"/>
                <w:sz w:val="20"/>
                <w:szCs w:val="20"/>
              </w:rPr>
              <w:t>Cem</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Cem </w:t>
            </w:r>
          </w:p>
        </w:tc>
        <w:tc>
          <w:tcPr>
            <w:tcW w:w="3776" w:type="dxa"/>
            <w:gridSpan w:val="2"/>
          </w:tcPr>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toplanmak, bir araya gelmek ve bütünleşmek demektir</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Cemlerin yapıldığı yer</w:t>
            </w:r>
          </w:p>
        </w:tc>
        <w:tc>
          <w:tcPr>
            <w:tcW w:w="3776" w:type="dxa"/>
            <w:gridSpan w:val="2"/>
          </w:tcPr>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Eskiden dergâhlarda, meydan evi denilen mekânlarda gerçekleştirilirdi. Kentleşmeyle birlikte zamanla cemevi adı verilen mekânlarda gerçekleştirilmeye</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Cemi yaptıran yöneten</w:t>
            </w:r>
          </w:p>
        </w:tc>
        <w:tc>
          <w:tcPr>
            <w:tcW w:w="3776" w:type="dxa"/>
            <w:gridSpan w:val="2"/>
          </w:tcPr>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Dede </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Cemin yapılışı </w:t>
            </w:r>
          </w:p>
        </w:tc>
        <w:tc>
          <w:tcPr>
            <w:tcW w:w="3776" w:type="dxa"/>
            <w:gridSpan w:val="2"/>
          </w:tcPr>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Cemde, kişiler aşkla Allah’a yönelirler.  </w:t>
            </w:r>
          </w:p>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Yüreklerinin Allah sevgisiyle dolmasını sağlarlar.</w:t>
            </w:r>
          </w:p>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Cemde tevhitler (Lâ ilâhe illallâh) okunur. </w:t>
            </w:r>
          </w:p>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Eller göğüslere konarak Hz. Muhammed ve ehl-i beytine salavatlar getirilir, işlenmiş olan günahlar için tövbe istiğfar edilir. Okunan gülbenk, dua, on iki imam aşkına söylenen düvaz, deyiş ve nefesler arasında hep bir ağızdan “Allah Allah” </w:t>
            </w:r>
            <w:r w:rsidRPr="00527BB6">
              <w:rPr>
                <w:rFonts w:asciiTheme="majorHAnsi" w:hAnsiTheme="majorHAnsi" w:cs="AvantGardeITCbyBT-Book"/>
                <w:sz w:val="20"/>
                <w:szCs w:val="20"/>
              </w:rPr>
              <w:lastRenderedPageBreak/>
              <w:t>denir.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lastRenderedPageBreak/>
              <w:t>Cem evinde yapılanlar</w:t>
            </w:r>
          </w:p>
        </w:tc>
        <w:tc>
          <w:tcPr>
            <w:tcW w:w="3776" w:type="dxa"/>
            <w:gridSpan w:val="2"/>
          </w:tcPr>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cemin yapıldığı yerdir.</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tasavvufi sohbetlerin yapıldığı </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mekân, </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yoksullara aşevi, misafirhane, birlik, dirlik ve kardeşlik evi olmuştur. </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ilim, eğitim ve kültür evi olarak da kullanılmaktadır</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Cem evine giriş</w:t>
            </w:r>
          </w:p>
        </w:tc>
        <w:tc>
          <w:tcPr>
            <w:tcW w:w="3776" w:type="dxa"/>
            <w:gridSpan w:val="2"/>
          </w:tcPr>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Niyazla girilir</w:t>
            </w:r>
          </w:p>
        </w:tc>
      </w:tr>
      <w:tr w:rsidR="00B239D5" w:rsidRPr="00527BB6" w:rsidTr="00933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Cem evinin ortası</w:t>
            </w:r>
          </w:p>
        </w:tc>
        <w:tc>
          <w:tcPr>
            <w:tcW w:w="3776" w:type="dxa"/>
            <w:gridSpan w:val="2"/>
          </w:tcPr>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 xml:space="preserve"> kırklar meydanı”, meydanın ortasına ise “dâr meydanı”</w:t>
            </w:r>
          </w:p>
          <w:p w:rsidR="00B239D5" w:rsidRPr="00527BB6" w:rsidRDefault="00B239D5" w:rsidP="009339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denir.</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Cem yapılma zamanı</w:t>
            </w:r>
          </w:p>
        </w:tc>
        <w:tc>
          <w:tcPr>
            <w:tcW w:w="3776" w:type="dxa"/>
            <w:gridSpan w:val="2"/>
          </w:tcPr>
          <w:p w:rsidR="00B239D5" w:rsidRPr="00527BB6" w:rsidRDefault="00B239D5" w:rsidP="009339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vantGardeITCbyBT-Book"/>
                <w:sz w:val="20"/>
                <w:szCs w:val="20"/>
              </w:rPr>
            </w:pPr>
            <w:r w:rsidRPr="00527BB6">
              <w:rPr>
                <w:rFonts w:asciiTheme="majorHAnsi" w:hAnsiTheme="majorHAnsi" w:cs="AvantGardeITCbyBT-Book"/>
                <w:sz w:val="20"/>
                <w:szCs w:val="20"/>
              </w:rPr>
              <w:t>Her zaman yapılır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TabloKlavuzu"/>
        <w:tblW w:w="0" w:type="auto"/>
        <w:tblLook w:val="04A0" w:firstRow="1" w:lastRow="0" w:firstColumn="1" w:lastColumn="0" w:noHBand="0" w:noVBand="1"/>
      </w:tblPr>
      <w:tblGrid>
        <w:gridCol w:w="5018"/>
      </w:tblGrid>
      <w:tr w:rsidR="00B239D5" w:rsidRPr="00527BB6" w:rsidTr="0093399B">
        <w:tc>
          <w:tcPr>
            <w:tcW w:w="5018" w:type="dxa"/>
          </w:tcPr>
          <w:p w:rsidR="00B239D5" w:rsidRPr="00527BB6" w:rsidRDefault="00B239D5" w:rsidP="0093399B">
            <w:pPr>
              <w:autoSpaceDE w:val="0"/>
              <w:autoSpaceDN w:val="0"/>
              <w:adjustRightInd w:val="0"/>
              <w:jc w:val="center"/>
              <w:rPr>
                <w:rFonts w:asciiTheme="majorHAnsi" w:hAnsiTheme="majorHAnsi" w:cs="AvantGardeITCbyBT-Book"/>
                <w:sz w:val="20"/>
                <w:szCs w:val="20"/>
              </w:rPr>
            </w:pPr>
            <w:r w:rsidRPr="00527BB6">
              <w:rPr>
                <w:rFonts w:asciiTheme="majorHAnsi" w:hAnsiTheme="majorHAnsi" w:cs="AvantGardeITCbyBT-Book"/>
                <w:sz w:val="20"/>
                <w:szCs w:val="20"/>
              </w:rPr>
              <w:t>Cem çeşitleri</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b w:val="0"/>
                <w:sz w:val="20"/>
                <w:szCs w:val="20"/>
              </w:rPr>
            </w:pPr>
            <w:r w:rsidRPr="00527BB6">
              <w:rPr>
                <w:rFonts w:cs="AvantGardeITCbyBT-Book"/>
                <w:b w:val="0"/>
                <w:sz w:val="20"/>
                <w:szCs w:val="20"/>
              </w:rPr>
              <w:t>Düşkünlükten  kaldırma cemi</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Yol düşkünü olan kimseler, problemlerini kendi aralarında çözüp anlaşırlarsa</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tekrar ceme alınabilmeleri için ayrıca bir erkân (tören) düzenlenir. Düzenlenen bu</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erkânda, düşkünlükten kaldırılacak olan bu kimseler, dâr meydanında dedelerin huzuruna gelip Kur’an’ın </w:t>
            </w:r>
            <w:r w:rsidRPr="00527BB6">
              <w:rPr>
                <w:rFonts w:cs="AvantGardeITCbyBT-Demi"/>
                <w:b w:val="0"/>
                <w:sz w:val="20"/>
                <w:szCs w:val="20"/>
              </w:rPr>
              <w:t>“…Ey Rabb’imiz! Biz kendimize zulmettik. Eğer bizi bağışlamaz ve bize acımazsan mutlaka ziyan edenlerden oluruz.”</w:t>
            </w:r>
            <w:r w:rsidRPr="00527BB6">
              <w:rPr>
                <w:rFonts w:cs="AvantGardeITCbyBT-Book"/>
                <w:b w:val="0"/>
                <w:sz w:val="20"/>
                <w:szCs w:val="20"/>
              </w:rPr>
              <w:t>1 ayetini okurlar. Bunun ardından dede tarafından bu kimselere gerekli uyarı yapılır. Dede, bu kimselerden kurban kesip fakir fukarayı doyurma, ihtiyaç sahiplerine dağıtma veya cemevinin bir ihtiyacını giderme gibi isteklerde bulunur. Bu kimseler bundan sonra yol düşkünü olmayacaklarına dair halkın ve Hakk’ın huzurunda</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söz verirler. Daha sonra da bu kimselerin üzerine bir gülbenk okunarak ceme son</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verilir. Buna denir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Glgeleme"/>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asciiTheme="majorHAnsi" w:hAnsiTheme="majorHAnsi" w:cs="AvantGardeITCbyBT-Book"/>
                <w:b w:val="0"/>
                <w:sz w:val="20"/>
                <w:szCs w:val="20"/>
              </w:rPr>
            </w:pPr>
            <w:r w:rsidRPr="00527BB6">
              <w:rPr>
                <w:rFonts w:asciiTheme="majorHAnsi" w:hAnsiTheme="majorHAnsi" w:cs="AvantGardeITCbyBT-Book"/>
                <w:b w:val="0"/>
                <w:sz w:val="20"/>
                <w:szCs w:val="20"/>
              </w:rPr>
              <w:t>Dârdan  indirme cemi</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asciiTheme="majorHAnsi" w:hAnsiTheme="majorHAnsi" w:cs="AvantGardeITCbyBT-Book"/>
                <w:b w:val="0"/>
                <w:sz w:val="20"/>
                <w:szCs w:val="20"/>
              </w:rPr>
            </w:pPr>
            <w:r w:rsidRPr="00527BB6">
              <w:rPr>
                <w:rFonts w:asciiTheme="majorHAnsi" w:hAnsiTheme="majorHAnsi" w:cs="AvantGardeITCbyBT-Book"/>
                <w:b w:val="0"/>
                <w:sz w:val="20"/>
                <w:szCs w:val="20"/>
              </w:rPr>
              <w:t>Alevilikte, ölen kişi için daha çok “Hakk’a yürüdü.” ifadesi kullanılır. Hakk’a yürüyen kişinin tanıdıkları, akraba ve arkadaşları çağrılarak hem halkın huzurunda hem de dedenin huzurunda ölen kişi adına razılık alınır. Ölen kimsenin borcu varsa ödenir. Alacakları ise yakınlarına teslim edilir. Sağlığında incittiği kimseler varsa</w:t>
            </w:r>
          </w:p>
          <w:p w:rsidR="00B239D5" w:rsidRPr="00527BB6" w:rsidRDefault="00B239D5" w:rsidP="0093399B">
            <w:pPr>
              <w:autoSpaceDE w:val="0"/>
              <w:autoSpaceDN w:val="0"/>
              <w:adjustRightInd w:val="0"/>
              <w:rPr>
                <w:rFonts w:asciiTheme="majorHAnsi" w:hAnsiTheme="majorHAnsi" w:cs="AvantGardeITCbyBT-Book"/>
                <w:b w:val="0"/>
                <w:sz w:val="20"/>
                <w:szCs w:val="20"/>
              </w:rPr>
            </w:pPr>
            <w:r w:rsidRPr="00527BB6">
              <w:rPr>
                <w:rFonts w:asciiTheme="majorHAnsi" w:hAnsiTheme="majorHAnsi" w:cs="AvantGardeITCbyBT-Book"/>
                <w:b w:val="0"/>
                <w:sz w:val="20"/>
                <w:szCs w:val="20"/>
              </w:rPr>
              <w:t>onlardan helallik alınır. Kurallar yerine getirildikten sonra yemekler yenilir. Dua ve gülbenkle okunarak dârdan indirme cemi tamamlanmış olur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b w:val="0"/>
                <w:sz w:val="20"/>
                <w:szCs w:val="20"/>
              </w:rPr>
            </w:pPr>
            <w:r w:rsidRPr="00527BB6">
              <w:rPr>
                <w:rFonts w:cs="AvantGardeITCbyBT-Book"/>
                <w:b w:val="0"/>
                <w:sz w:val="20"/>
                <w:szCs w:val="20"/>
              </w:rPr>
              <w:t>Abdal Musa cemi/ birlik ceminde</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her yıl, sonbaharda küskünlerin barıştırılması ve birliğin sağlanması amacıyla yapılır Herhangi bir ocağa veya cemevine bağlı bulunan kimseler, bir araya gelip kurban keserler. Tüm canlar, bu kurban lokmasına maddi katkıda bulunurlar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r w:rsidRPr="00527BB6">
        <w:rPr>
          <w:rFonts w:asciiTheme="majorHAnsi" w:hAnsiTheme="majorHAnsi" w:cs="AvantGardeITCbyBT-Book"/>
          <w:sz w:val="20"/>
          <w:szCs w:val="20"/>
        </w:rPr>
        <w:t xml:space="preserve"> </w:t>
      </w:r>
    </w:p>
    <w:tbl>
      <w:tblPr>
        <w:tblStyle w:val="AkKlavuz"/>
        <w:tblW w:w="0" w:type="auto"/>
        <w:tblLook w:val="04A0" w:firstRow="1" w:lastRow="0" w:firstColumn="1" w:lastColumn="0" w:noHBand="0" w:noVBand="1"/>
      </w:tblPr>
      <w:tblGrid>
        <w:gridCol w:w="5018"/>
      </w:tblGrid>
      <w:tr w:rsidR="00B239D5" w:rsidRPr="00527BB6"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sz w:val="20"/>
                <w:szCs w:val="20"/>
              </w:rPr>
            </w:pPr>
            <w:r w:rsidRPr="00527BB6">
              <w:rPr>
                <w:rFonts w:cs="AvantGardeITCbyBT-Book"/>
                <w:sz w:val="20"/>
                <w:szCs w:val="20"/>
              </w:rPr>
              <w:t>Alevilik-Bektaşiliğin temel düşünceleri</w:t>
            </w:r>
          </w:p>
        </w:tc>
      </w:tr>
      <w:tr w:rsidR="00B239D5" w:rsidRPr="00527BB6"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 Yolumuz sevgi ve dostluk üzerine kurulmuştur.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-Dergâhımızda kışkırtıcı, bozguncu ve karıştırıcılara yer yoktur.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 xml:space="preserve">-Çekememezlik, kıskançlık, kendini beğenme, kin, inat, </w:t>
            </w:r>
            <w:r w:rsidRPr="00527BB6">
              <w:rPr>
                <w:rFonts w:cs="AvantGardeITCbyBT-Book"/>
                <w:b w:val="0"/>
                <w:sz w:val="20"/>
                <w:szCs w:val="20"/>
              </w:rPr>
              <w:t xml:space="preserve">arkadan konuşma, dedikodu, başkasını suçlama, iftira, küfür, zulüm, yalan ve cinayet Allah’ın yasak ettiği işlerdir. </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-Bir talip, tüm bu kötülükleri benliğinden uzaklaştırıp yüreğinden silmelidir. Talip, gerekmezse söz söylemez. Kendine ait olmayanı</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almaz. Görmediğine “Gördüm.”, duymadığına ise -Anadolu’ya göç eden Türk boyları arasında birlik ve beraberliğin sağlanmasında, manevi bağların gelişmesinde Hacı Bektaş Velinin büyük katkıları olmuştur.</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-Hacı Bektaş Veli, Ahmet Yesevi’nin manevi ocağında yetişmiş bir Horasan ereni olarak</w:t>
            </w:r>
          </w:p>
          <w:p w:rsidR="00B239D5" w:rsidRPr="00527BB6" w:rsidRDefault="00B239D5" w:rsidP="0093399B">
            <w:pPr>
              <w:autoSpaceDE w:val="0"/>
              <w:autoSpaceDN w:val="0"/>
              <w:adjustRightInd w:val="0"/>
              <w:rPr>
                <w:rFonts w:cs="AvantGardeITCbyBT-Book"/>
                <w:b w:val="0"/>
                <w:sz w:val="20"/>
                <w:szCs w:val="20"/>
              </w:rPr>
            </w:pPr>
            <w:r w:rsidRPr="00527BB6">
              <w:rPr>
                <w:rFonts w:cs="AvantGardeITCbyBT-Book"/>
                <w:b w:val="0"/>
                <w:sz w:val="20"/>
                <w:szCs w:val="20"/>
              </w:rPr>
              <w:t>Anadolu’da, insan sevgisi ve bir arada ya şama kültürünün yaygınlaşmasına öncülük etmiştir.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tbl>
      <w:tblPr>
        <w:tblStyle w:val="AkKlavuz"/>
        <w:tblW w:w="0" w:type="auto"/>
        <w:tblLook w:val="04A0" w:firstRow="1" w:lastRow="0" w:firstColumn="1" w:lastColumn="0" w:noHBand="0" w:noVBand="1"/>
      </w:tblPr>
      <w:tblGrid>
        <w:gridCol w:w="5018"/>
      </w:tblGrid>
      <w:tr w:rsidR="00B239D5" w:rsidTr="00933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527BB6" w:rsidRDefault="00B239D5" w:rsidP="0093399B">
            <w:pPr>
              <w:autoSpaceDE w:val="0"/>
              <w:autoSpaceDN w:val="0"/>
              <w:adjustRightInd w:val="0"/>
              <w:jc w:val="center"/>
              <w:rPr>
                <w:rFonts w:cs="AvantGardeITCbyBT-Book"/>
                <w:b w:val="0"/>
                <w:sz w:val="20"/>
                <w:szCs w:val="20"/>
              </w:rPr>
            </w:pPr>
            <w:r w:rsidRPr="00527BB6">
              <w:rPr>
                <w:rFonts w:cs="AvantGardeITCbyBT-Book"/>
                <w:b w:val="0"/>
                <w:sz w:val="20"/>
                <w:szCs w:val="20"/>
              </w:rPr>
              <w:t>12 hizmet</w:t>
            </w:r>
          </w:p>
        </w:tc>
      </w:tr>
      <w:tr w:rsidR="00B239D5" w:rsidTr="00933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8" w:type="dxa"/>
          </w:tcPr>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Oblique" w:hAnsi="AvantGardeITCbyBT-BookOblique" w:cs="AvantGardeITCbyBT-BookOblique"/>
                <w:i/>
                <w:iCs/>
              </w:rPr>
              <w:t>Dede</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Cemi yönetir.</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Oblique" w:hAnsi="AvantGardeITCbyBT-BookOblique" w:cs="AvantGardeITCbyBT-BookOblique"/>
                <w:i/>
                <w:iCs/>
              </w:rPr>
              <w:t>Rehber</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Ceme katılanlara yardımcı olur. Dedenin en yakın yardımcısıdır. Dedenin olmadığı zamanlarda onun yerine cemleri idare eder.</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SymbolMT" w:eastAsia="SymbolMT" w:hAnsi="AvantGardeITCbyBT-BookOblique" w:cs="SymbolMT"/>
                <w:b w:val="0"/>
              </w:rPr>
              <w:t xml:space="preserve"> </w:t>
            </w:r>
            <w:r w:rsidRPr="000827E8">
              <w:rPr>
                <w:rFonts w:ascii="AvantGardeITCbyBT-BookOblique" w:hAnsi="AvantGardeITCbyBT-BookOblique" w:cs="AvantGardeITCbyBT-BookOblique"/>
                <w:i/>
                <w:iCs/>
              </w:rPr>
              <w:t>Gözcü:</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Rehberin yardımcısıdır. Cemde düzeni ve sükûneti sağlar.</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Oblique" w:hAnsi="AvantGardeITCbyBT-BookOblique" w:cs="AvantGardeITCbyBT-BookOblique"/>
                <w:i/>
                <w:iCs/>
              </w:rPr>
              <w:t>Çerağcı (Delilci):</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Cemin başlangıcında çerağları uyandırır.</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Oblique" w:hAnsi="AvantGardeITCbyBT-BookOblique" w:cs="AvantGardeITCbyBT-BookOblique"/>
                <w:i/>
                <w:iCs/>
              </w:rPr>
              <w:t>Zakir (Âşık):</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 esnasında tevhit, düvaz imam, mersiye ve miraçlamayı bağlama</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 w:hAnsi="AvantGardeITCbyBT-Book" w:cs="AvantGardeITCbyBT-Book"/>
                <w:b w:val="0"/>
              </w:rPr>
              <w:t>eşliğinde okur.</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SymbolMT" w:eastAsia="SymbolMT" w:hAnsi="AvantGardeITCbyBT-BookOblique" w:cs="SymbolMT"/>
                <w:b w:val="0"/>
              </w:rPr>
              <w:t xml:space="preserve"> </w:t>
            </w:r>
            <w:r w:rsidRPr="000827E8">
              <w:rPr>
                <w:rFonts w:ascii="AvantGardeITCbyBT-BookOblique" w:hAnsi="AvantGardeITCbyBT-BookOblique" w:cs="AvantGardeITCbyBT-BookOblique"/>
                <w:i/>
                <w:iCs/>
              </w:rPr>
              <w:t>Ferraş (Süpürgeci):</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 xml:space="preserve">Cem yapılacak yerin temizliğinden sorumludur. </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Oblique" w:hAnsi="AvantGardeITCbyBT-BookOblique" w:cs="AvantGardeITCbyBT-BookOblique"/>
                <w:i/>
                <w:iCs/>
              </w:rPr>
              <w:t>Sakka:</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İbriktar da denir. Cem sırasında el suyu döker.</w:t>
            </w:r>
          </w:p>
          <w:p w:rsidR="00B239D5" w:rsidRPr="000827E8" w:rsidRDefault="00B239D5" w:rsidP="0093399B">
            <w:pPr>
              <w:autoSpaceDE w:val="0"/>
              <w:autoSpaceDN w:val="0"/>
              <w:adjustRightInd w:val="0"/>
              <w:rPr>
                <w:rFonts w:ascii="AvantGardeITCbyBT-Book" w:hAnsi="AvantGardeITCbyBT-Book" w:cs="AvantGardeITCbyBT-Book"/>
                <w:b w:val="0"/>
              </w:rPr>
            </w:pPr>
            <w:r w:rsidRPr="000827E8">
              <w:rPr>
                <w:rFonts w:ascii="AvantGardeITCbyBT-BookOblique" w:hAnsi="AvantGardeITCbyBT-BookOblique" w:cs="AvantGardeITCbyBT-BookOblique"/>
                <w:i/>
                <w:iCs/>
              </w:rPr>
              <w:t>Sofracı</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Kurbancı veya lokmacı da denir. Kurban ve yemek işlerine bakar.</w:t>
            </w:r>
          </w:p>
          <w:p w:rsidR="00B239D5" w:rsidRPr="000827E8" w:rsidRDefault="00B239D5" w:rsidP="0093399B">
            <w:pPr>
              <w:autoSpaceDE w:val="0"/>
              <w:autoSpaceDN w:val="0"/>
              <w:adjustRightInd w:val="0"/>
              <w:rPr>
                <w:rFonts w:ascii="AvantGardeITCbyBT-Book" w:hAnsi="AvantGardeITCbyBT-Book" w:cs="AvantGardeITCbyBT-Book"/>
                <w:b w:val="0"/>
              </w:rPr>
            </w:pPr>
            <w:r w:rsidRPr="00BE1DB7">
              <w:rPr>
                <w:rFonts w:ascii="AvantGardeITCbyBT-BookOblique" w:hAnsi="AvantGardeITCbyBT-BookOblique" w:cs="AvantGardeITCbyBT-BookOblique"/>
                <w:i/>
                <w:iCs/>
              </w:rPr>
              <w:t>Pervane (Semahçı</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Semaha öncülük eder.</w:t>
            </w:r>
          </w:p>
          <w:p w:rsidR="00B239D5" w:rsidRPr="000827E8" w:rsidRDefault="00B239D5" w:rsidP="0093399B">
            <w:pPr>
              <w:autoSpaceDE w:val="0"/>
              <w:autoSpaceDN w:val="0"/>
              <w:adjustRightInd w:val="0"/>
              <w:rPr>
                <w:rFonts w:ascii="AvantGardeITCbyBT-Book" w:hAnsi="AvantGardeITCbyBT-Book" w:cs="AvantGardeITCbyBT-Book"/>
                <w:b w:val="0"/>
              </w:rPr>
            </w:pPr>
            <w:r w:rsidRPr="00BE1DB7">
              <w:rPr>
                <w:rFonts w:ascii="AvantGardeITCbyBT-BookOblique" w:hAnsi="AvantGardeITCbyBT-BookOblique" w:cs="AvantGardeITCbyBT-BookOblique"/>
                <w:i/>
                <w:iCs/>
              </w:rPr>
              <w:t>Peyikçi (Haberci):</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Cemin yapılacağını insanlara duyurmakla görevlidir.</w:t>
            </w:r>
          </w:p>
          <w:p w:rsidR="00B239D5" w:rsidRPr="000827E8" w:rsidRDefault="00B239D5" w:rsidP="0093399B">
            <w:pPr>
              <w:autoSpaceDE w:val="0"/>
              <w:autoSpaceDN w:val="0"/>
              <w:adjustRightInd w:val="0"/>
              <w:rPr>
                <w:rFonts w:ascii="AvantGardeITCbyBT-Book" w:hAnsi="AvantGardeITCbyBT-Book" w:cs="AvantGardeITCbyBT-Book"/>
                <w:b w:val="0"/>
              </w:rPr>
            </w:pPr>
            <w:r w:rsidRPr="00BE1DB7">
              <w:rPr>
                <w:rFonts w:ascii="AvantGardeITCbyBT-BookOblique" w:hAnsi="AvantGardeITCbyBT-BookOblique" w:cs="AvantGardeITCbyBT-BookOblique"/>
                <w:i/>
                <w:iCs/>
              </w:rPr>
              <w:t>İznikçi (Meydancı):</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Cemin yapıldığı yerin düzenini sağlar.</w:t>
            </w:r>
          </w:p>
          <w:p w:rsidR="00B239D5" w:rsidRDefault="00B239D5" w:rsidP="0093399B">
            <w:pPr>
              <w:autoSpaceDE w:val="0"/>
              <w:autoSpaceDN w:val="0"/>
              <w:adjustRightInd w:val="0"/>
              <w:rPr>
                <w:rFonts w:cs="AvantGardeITCbyBT-Book"/>
                <w:sz w:val="20"/>
                <w:szCs w:val="20"/>
              </w:rPr>
            </w:pPr>
            <w:r w:rsidRPr="00BE1DB7">
              <w:rPr>
                <w:rFonts w:ascii="AvantGardeITCbyBT-BookOblique" w:hAnsi="AvantGardeITCbyBT-BookOblique" w:cs="AvantGardeITCbyBT-BookOblique"/>
                <w:i/>
                <w:iCs/>
              </w:rPr>
              <w:t>Bekçi (Kapıcı):</w:t>
            </w:r>
            <w:r w:rsidRPr="000827E8">
              <w:rPr>
                <w:rFonts w:ascii="AvantGardeITCbyBT-BookOblique" w:hAnsi="AvantGardeITCbyBT-BookOblique" w:cs="AvantGardeITCbyBT-BookOblique"/>
                <w:b w:val="0"/>
                <w:i/>
                <w:iCs/>
              </w:rPr>
              <w:t xml:space="preserve"> </w:t>
            </w:r>
            <w:r w:rsidRPr="000827E8">
              <w:rPr>
                <w:rFonts w:ascii="AvantGardeITCbyBT-Book" w:hAnsi="AvantGardeITCbyBT-Book" w:cs="AvantGardeITCbyBT-Book"/>
                <w:b w:val="0"/>
              </w:rPr>
              <w:t>Cemin ve ceme gelenlerin güvenliğini sağlar.</w:t>
            </w:r>
          </w:p>
        </w:tc>
      </w:tr>
    </w:tbl>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p w:rsidR="00B239D5" w:rsidRPr="00527BB6" w:rsidRDefault="00B239D5" w:rsidP="00B239D5">
      <w:pPr>
        <w:autoSpaceDE w:val="0"/>
        <w:autoSpaceDN w:val="0"/>
        <w:adjustRightInd w:val="0"/>
        <w:spacing w:after="0" w:line="240" w:lineRule="auto"/>
        <w:rPr>
          <w:rFonts w:asciiTheme="majorHAnsi" w:hAnsiTheme="majorHAnsi" w:cs="AvantGardeITCbyBT-Book"/>
          <w:sz w:val="20"/>
          <w:szCs w:val="20"/>
        </w:rPr>
      </w:pPr>
    </w:p>
    <w:p w:rsidR="00B239D5" w:rsidRDefault="00B239D5" w:rsidP="00B239D5">
      <w:pPr>
        <w:autoSpaceDE w:val="0"/>
        <w:autoSpaceDN w:val="0"/>
        <w:adjustRightInd w:val="0"/>
        <w:spacing w:after="0" w:line="240" w:lineRule="auto"/>
        <w:rPr>
          <w:rFonts w:asciiTheme="majorHAnsi" w:hAnsiTheme="majorHAnsi" w:cs="AvantGardeITCbyBT-Book"/>
          <w:sz w:val="20"/>
          <w:szCs w:val="20"/>
        </w:rPr>
      </w:pPr>
    </w:p>
    <w:p w:rsidR="00AE046F" w:rsidRDefault="00684CDC">
      <w:r w:rsidRPr="00684CDC">
        <w:t>derskitabicevaplarim.com</w:t>
      </w:r>
    </w:p>
    <w:sectPr w:rsidR="00AE046F" w:rsidSect="00B239D5">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vantGardeITCbyBT-Book">
    <w:altName w:val="Arial"/>
    <w:panose1 w:val="00000000000000000000"/>
    <w:charset w:val="00"/>
    <w:family w:val="swiss"/>
    <w:notTrueType/>
    <w:pitch w:val="default"/>
    <w:sig w:usb0="00000007" w:usb1="00000000" w:usb2="00000000" w:usb3="00000000" w:csb0="00000011" w:csb1="00000000"/>
  </w:font>
  <w:font w:name="AvantGardeITCbyBT-Demi">
    <w:altName w:val="Arial"/>
    <w:panose1 w:val="00000000000000000000"/>
    <w:charset w:val="00"/>
    <w:family w:val="swiss"/>
    <w:notTrueType/>
    <w:pitch w:val="default"/>
    <w:sig w:usb0="00000007" w:usb1="00000000" w:usb2="00000000" w:usb3="00000000" w:csb0="00000011" w:csb1="00000000"/>
  </w:font>
  <w:font w:name="AvantGardeITCbyBT-BookOblique">
    <w:altName w:val="Arial"/>
    <w:panose1 w:val="00000000000000000000"/>
    <w:charset w:val="00"/>
    <w:family w:val="swiss"/>
    <w:notTrueType/>
    <w:pitch w:val="default"/>
    <w:sig w:usb0="00000001" w:usb1="00000000" w:usb2="00000000" w:usb3="00000000" w:csb0="00000011"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D23"/>
    <w:rsid w:val="000546F5"/>
    <w:rsid w:val="00056522"/>
    <w:rsid w:val="000C0879"/>
    <w:rsid w:val="0013256E"/>
    <w:rsid w:val="00143678"/>
    <w:rsid w:val="00155B65"/>
    <w:rsid w:val="001E72F8"/>
    <w:rsid w:val="00231DB8"/>
    <w:rsid w:val="00236A41"/>
    <w:rsid w:val="00261504"/>
    <w:rsid w:val="00291AA8"/>
    <w:rsid w:val="00297557"/>
    <w:rsid w:val="003B0850"/>
    <w:rsid w:val="003C219A"/>
    <w:rsid w:val="003D1F43"/>
    <w:rsid w:val="004222F7"/>
    <w:rsid w:val="00534ECF"/>
    <w:rsid w:val="00556D27"/>
    <w:rsid w:val="005D1FBD"/>
    <w:rsid w:val="00611D86"/>
    <w:rsid w:val="00611F85"/>
    <w:rsid w:val="0064404E"/>
    <w:rsid w:val="00663B27"/>
    <w:rsid w:val="00684CDC"/>
    <w:rsid w:val="00717BAA"/>
    <w:rsid w:val="0079660D"/>
    <w:rsid w:val="007C59B5"/>
    <w:rsid w:val="0089067E"/>
    <w:rsid w:val="00911F34"/>
    <w:rsid w:val="0093311F"/>
    <w:rsid w:val="00967096"/>
    <w:rsid w:val="0099159C"/>
    <w:rsid w:val="00A87277"/>
    <w:rsid w:val="00AC19EC"/>
    <w:rsid w:val="00AE046F"/>
    <w:rsid w:val="00B05307"/>
    <w:rsid w:val="00B239D5"/>
    <w:rsid w:val="00BA6933"/>
    <w:rsid w:val="00BB5EE1"/>
    <w:rsid w:val="00BE4AB7"/>
    <w:rsid w:val="00C13411"/>
    <w:rsid w:val="00C4431F"/>
    <w:rsid w:val="00C74310"/>
    <w:rsid w:val="00CB12D7"/>
    <w:rsid w:val="00D05A3F"/>
    <w:rsid w:val="00D26096"/>
    <w:rsid w:val="00D43D23"/>
    <w:rsid w:val="00D64BF2"/>
    <w:rsid w:val="00D64F37"/>
    <w:rsid w:val="00D8490A"/>
    <w:rsid w:val="00DD5948"/>
    <w:rsid w:val="00DF3946"/>
    <w:rsid w:val="00E23801"/>
    <w:rsid w:val="00E514CB"/>
    <w:rsid w:val="00EC7D5B"/>
    <w:rsid w:val="00EF4C9C"/>
    <w:rsid w:val="00EF7E5F"/>
    <w:rsid w:val="00F40890"/>
    <w:rsid w:val="00F70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AD413-8CF6-4CE7-9F18-A135671B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
    <w:name w:val="Light Grid"/>
    <w:basedOn w:val="NormalTablo"/>
    <w:uiPriority w:val="62"/>
    <w:rsid w:val="00B239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oKlavuzu">
    <w:name w:val="Table Grid"/>
    <w:basedOn w:val="NormalTablo"/>
    <w:uiPriority w:val="59"/>
    <w:rsid w:val="00B2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B239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mehmet tamer</cp:lastModifiedBy>
  <cp:revision>5</cp:revision>
  <dcterms:created xsi:type="dcterms:W3CDTF">2015-02-27T20:59:00Z</dcterms:created>
  <dcterms:modified xsi:type="dcterms:W3CDTF">2023-02-04T11:16:00Z</dcterms:modified>
</cp:coreProperties>
</file>